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EF" w:rsidRDefault="00DE5AEF" w:rsidP="00DE5AEF">
      <w:pPr>
        <w:jc w:val="center"/>
        <w:rPr>
          <w:bCs/>
          <w:color w:val="002060"/>
          <w:sz w:val="20"/>
          <w:szCs w:val="20"/>
        </w:rPr>
      </w:pPr>
    </w:p>
    <w:p w:rsidR="00DE5AEF" w:rsidRDefault="00DE5AEF" w:rsidP="00DE5AEF">
      <w:pPr>
        <w:jc w:val="center"/>
        <w:rPr>
          <w:bCs/>
          <w:color w:val="002060"/>
          <w:sz w:val="20"/>
          <w:szCs w:val="20"/>
        </w:rPr>
      </w:pPr>
    </w:p>
    <w:p w:rsidR="00DE5AEF" w:rsidRPr="00A726A6" w:rsidRDefault="00DE5AEF" w:rsidP="00DE5AEF">
      <w:pPr>
        <w:jc w:val="center"/>
        <w:rPr>
          <w:rFonts w:ascii="Arial" w:hAnsi="Arial" w:cs="Arial"/>
          <w:b/>
          <w:bCs/>
          <w:color w:val="4F6228"/>
          <w:sz w:val="96"/>
          <w:szCs w:val="96"/>
        </w:rPr>
      </w:pPr>
      <w:r w:rsidRPr="00A726A6">
        <w:rPr>
          <w:b/>
          <w:bCs/>
          <w:color w:val="4F6228"/>
          <w:sz w:val="96"/>
          <w:szCs w:val="96"/>
        </w:rPr>
        <w:t>TAJEMNICE PRZYRODA</w:t>
      </w:r>
    </w:p>
    <w:p w:rsidR="00DE5AEF" w:rsidRPr="00A726A6" w:rsidRDefault="00DE5AEF" w:rsidP="00DE5AEF">
      <w:pPr>
        <w:jc w:val="center"/>
        <w:rPr>
          <w:rFonts w:ascii="Arial" w:hAnsi="Arial" w:cs="Arial"/>
          <w:b/>
          <w:bCs/>
          <w:color w:val="7C4911"/>
          <w:sz w:val="52"/>
          <w:szCs w:val="52"/>
        </w:rPr>
      </w:pPr>
    </w:p>
    <w:p w:rsidR="00DE5AEF" w:rsidRPr="00B152DD" w:rsidRDefault="00DE5AEF" w:rsidP="00DE5AEF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:rsidR="00DE5AEF" w:rsidRPr="006254FC" w:rsidRDefault="00DE5AEF" w:rsidP="00DE5AEF">
      <w:pPr>
        <w:jc w:val="center"/>
        <w:rPr>
          <w:rFonts w:ascii="Arial" w:hAnsi="Arial" w:cs="Arial"/>
          <w:b/>
          <w:bCs/>
          <w:color w:val="000000"/>
          <w:szCs w:val="40"/>
        </w:rPr>
      </w:pPr>
      <w:r>
        <w:rPr>
          <w:rFonts w:ascii="Arial" w:hAnsi="Arial" w:cs="Arial"/>
          <w:b/>
          <w:bCs/>
          <w:color w:val="000000"/>
          <w:szCs w:val="40"/>
        </w:rPr>
        <w:t>Szkoła podstawowa, klasa 4</w:t>
      </w: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Przedmiotowe zasady oceniania</w:t>
      </w: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Klasa 4</w:t>
      </w: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E5AEF" w:rsidRPr="00DE5AEF" w:rsidRDefault="00DE5AEF" w:rsidP="00DE5AEF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E5AEF" w:rsidRDefault="00DE5AEF" w:rsidP="00DE5A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E5AEF" w:rsidRPr="00A00576" w:rsidRDefault="00DE5AEF" w:rsidP="00DE5AE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lastRenderedPageBreak/>
        <w:t>Przedmiotowe zasady oceniania (PZO) to podstawowe zasady wewnątrzszkolnego oceniania uczniów z konkretnego przedmiotu. Powinny być zgodne z podstawą programową oraz obowiązującym</w:t>
      </w:r>
      <w:r>
        <w:rPr>
          <w:color w:val="000000"/>
          <w:sz w:val="20"/>
          <w:szCs w:val="20"/>
        </w:rPr>
        <w:t xml:space="preserve">i </w:t>
      </w:r>
      <w:r w:rsidRPr="00A00576">
        <w:rPr>
          <w:color w:val="000000"/>
          <w:sz w:val="20"/>
          <w:szCs w:val="20"/>
        </w:rPr>
        <w:t xml:space="preserve">w szkole wewnątrzszkolnymi zasadami oceniania (WZO). </w:t>
      </w:r>
    </w:p>
    <w:p w:rsidR="00DE5AEF" w:rsidRPr="00A00576" w:rsidRDefault="00DE5AEF" w:rsidP="00DE5AE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E5AEF" w:rsidRPr="008503CA" w:rsidRDefault="00DE5AEF" w:rsidP="00DE5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Ogólne zasady oceniania uczniów</w:t>
      </w:r>
    </w:p>
    <w:p w:rsidR="00DE5AEF" w:rsidRPr="00A00576" w:rsidRDefault="00DE5AEF" w:rsidP="00DE5AEF">
      <w:pPr>
        <w:tabs>
          <w:tab w:val="left" w:pos="284"/>
        </w:tabs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DE5AEF" w:rsidRPr="00A00576" w:rsidRDefault="00DE5AEF" w:rsidP="00DE5AEF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1.</w:t>
      </w:r>
      <w:r w:rsidRPr="00A00576">
        <w:rPr>
          <w:color w:val="000000"/>
          <w:sz w:val="20"/>
          <w:szCs w:val="20"/>
        </w:rPr>
        <w:tab/>
        <w:t>Ocenianie osiągnięć edukacyjnych ucznia polega na rozpoznawaniu przez nauczyciela postępów w opanowaniu przez ucznia wiadomości i umiejętności oraz jego poziomu w stosunku do wymagań edukacyjnych wynikających z podstawy programowej i realizowanych w szkole programów nauczania, opracowanych zgodnie z nią.</w:t>
      </w:r>
    </w:p>
    <w:p w:rsidR="00DE5AEF" w:rsidRPr="00A00576" w:rsidRDefault="00DE5AEF" w:rsidP="00DE5AEF">
      <w:pPr>
        <w:autoSpaceDE w:val="0"/>
        <w:autoSpaceDN w:val="0"/>
        <w:adjustRightInd w:val="0"/>
        <w:ind w:left="284" w:hanging="284"/>
        <w:rPr>
          <w:color w:val="000000"/>
          <w:sz w:val="20"/>
          <w:szCs w:val="20"/>
        </w:rPr>
      </w:pPr>
      <w:r w:rsidRPr="00475CDF">
        <w:rPr>
          <w:b/>
          <w:color w:val="000000"/>
          <w:sz w:val="20"/>
          <w:szCs w:val="20"/>
        </w:rPr>
        <w:t>2.</w:t>
      </w:r>
      <w:r w:rsidRPr="00A00576">
        <w:rPr>
          <w:color w:val="000000"/>
          <w:sz w:val="20"/>
          <w:szCs w:val="20"/>
        </w:rPr>
        <w:tab/>
        <w:t>Nauczyciel: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informuje ucznia o poziomie jego osiągnięć edukacyjnych oraz o postępach w tym zakresie;</w:t>
      </w:r>
    </w:p>
    <w:p w:rsidR="00DE5AEF" w:rsidRPr="00A00576" w:rsidRDefault="00DE5AEF" w:rsidP="00DE5AEF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udziela uczniowi pomocy w samodzielnym planowaniu swojego rozwoju;</w:t>
      </w:r>
    </w:p>
    <w:p w:rsidR="00DE5AEF" w:rsidRPr="003A6DC5" w:rsidRDefault="00DE5AEF" w:rsidP="00DE5AEF">
      <w:pPr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3A6DC5">
        <w:rPr>
          <w:color w:val="000000"/>
          <w:sz w:val="20"/>
          <w:szCs w:val="20"/>
        </w:rPr>
        <w:t xml:space="preserve">udziela </w:t>
      </w:r>
      <w:hyperlink r:id="rId8" w:anchor="P1A6" w:tgtFrame="ostatnia" w:history="1">
        <w:r w:rsidRPr="003A6DC5">
          <w:rPr>
            <w:color w:val="000000"/>
            <w:sz w:val="20"/>
            <w:szCs w:val="20"/>
          </w:rPr>
          <w:t>uczniowi</w:t>
        </w:r>
      </w:hyperlink>
      <w:r w:rsidRPr="003A6DC5">
        <w:rPr>
          <w:color w:val="000000"/>
          <w:sz w:val="20"/>
          <w:szCs w:val="20"/>
        </w:rPr>
        <w:t xml:space="preserve"> pomocy w nauce poprzez przekazanie informacji o tym, co zrobił dobrze i jak powinien się dalej uczyć;</w:t>
      </w:r>
    </w:p>
    <w:p w:rsidR="00DE5AEF" w:rsidRPr="00A00576" w:rsidRDefault="00DE5AEF" w:rsidP="00DE5AEF">
      <w:pPr>
        <w:tabs>
          <w:tab w:val="left" w:pos="426"/>
        </w:tabs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motywuje ucznia do dalszych postępów w nauce;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dostarcza rodzicom informacji o postępach, trudnościach w nauce oraz specjalnych uzdolnieniach ucznia.</w:t>
      </w:r>
    </w:p>
    <w:p w:rsidR="00DE5AEF" w:rsidRPr="00A00576" w:rsidRDefault="00DE5AEF" w:rsidP="00DE5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są jawne dla ucznia i jego rodziców.</w:t>
      </w:r>
    </w:p>
    <w:p w:rsidR="00DE5AEF" w:rsidRPr="00A75408" w:rsidRDefault="00DE5AEF" w:rsidP="00DE5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Nauczyciel uzasadnia ustaloną ocenę w sposób określony w statucie szkoły.</w:t>
      </w:r>
    </w:p>
    <w:p w:rsidR="00DE5AEF" w:rsidRPr="00A75408" w:rsidRDefault="00DE5AEF" w:rsidP="00DE5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75408">
        <w:rPr>
          <w:rFonts w:ascii="Times New Roman" w:hAnsi="Times New Roman"/>
          <w:color w:val="000000"/>
          <w:sz w:val="20"/>
          <w:szCs w:val="20"/>
        </w:rPr>
        <w:t>Sprawdzone i ocenione pisemne prace kontrolne są udostępniane do wglądu uczniowi lub jego rodzicom.</w:t>
      </w:r>
    </w:p>
    <w:p w:rsidR="00DE5AEF" w:rsidRPr="00A00576" w:rsidRDefault="00DE5AEF" w:rsidP="00DE5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Szczegółowe warunki i sposób oceniania wewnątrzszkolnego określa statut szkoły.</w:t>
      </w:r>
    </w:p>
    <w:p w:rsidR="00DE5AEF" w:rsidRPr="00A00576" w:rsidRDefault="00DE5AEF" w:rsidP="00DE5AEF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DE5AEF" w:rsidRPr="008503CA" w:rsidRDefault="00DE5AEF" w:rsidP="00DE5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oceniania poszczególnych form aktywności</w:t>
      </w:r>
    </w:p>
    <w:p w:rsidR="00DE5AEF" w:rsidRPr="00A00576" w:rsidRDefault="00DE5AEF" w:rsidP="00DE5AEF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DE5AEF" w:rsidRPr="00A00576" w:rsidRDefault="00DE5AEF" w:rsidP="00DE5AE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Ocenie podlegają: prace klasowe, </w:t>
      </w:r>
      <w:r w:rsidRPr="003A6DC5">
        <w:rPr>
          <w:color w:val="000000"/>
          <w:sz w:val="20"/>
          <w:szCs w:val="20"/>
        </w:rPr>
        <w:t>sprawdziany, kartkówki, odpowiedzi ustne, prace domowe, ćwiczenia praktyczne, praca ucznia na lekcji, prace dodatkowe oraz szczególne</w:t>
      </w:r>
      <w:r w:rsidRPr="00A00576">
        <w:rPr>
          <w:color w:val="000000"/>
          <w:sz w:val="20"/>
          <w:szCs w:val="20"/>
        </w:rPr>
        <w:t xml:space="preserve"> osiągnięcia.</w:t>
      </w:r>
    </w:p>
    <w:p w:rsidR="00DE5AEF" w:rsidRPr="00A00576" w:rsidRDefault="00DE5AEF" w:rsidP="00DE5AE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klasowe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 umiejętności ucznia z zakresu danego działu.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Prace klasowe planuje się na zakończenie każdego działu.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Uczeń jest informowany o planowanej pracy klasowej z co najmniej tygodniowym wyprzedzeniem (jeśli WZO nie reguluje tego inaczej).</w:t>
      </w:r>
    </w:p>
    <w:p w:rsidR="00DE5AEF" w:rsidRPr="003A6DC5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3A6DC5">
        <w:rPr>
          <w:color w:val="000000"/>
          <w:sz w:val="20"/>
          <w:szCs w:val="20"/>
        </w:rPr>
        <w:lastRenderedPageBreak/>
        <w:t>•</w:t>
      </w:r>
      <w:r w:rsidRPr="003A6DC5">
        <w:rPr>
          <w:color w:val="000000"/>
          <w:sz w:val="20"/>
          <w:szCs w:val="20"/>
        </w:rPr>
        <w:tab/>
        <w:t>Przed każdą pracą klasową nauczyciel podaje jej zakres programowy.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Każdą pracę klasową poprzedza lekcja powtórzeniowa (lub dwie lekcje), podczas której nauczyciel zwraca uwagę uczniów na najważniejsze zagadnienia z danego działu.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Zasady uzasadniania oceny z pracy klasowej, jej poprawy oraz sposób przechowywan</w:t>
      </w:r>
      <w:r>
        <w:rPr>
          <w:color w:val="000000"/>
          <w:sz w:val="20"/>
          <w:szCs w:val="20"/>
        </w:rPr>
        <w:t>ia prac klasowych są </w:t>
      </w:r>
      <w:r w:rsidRPr="00A00576">
        <w:rPr>
          <w:color w:val="000000"/>
          <w:sz w:val="20"/>
          <w:szCs w:val="20"/>
        </w:rPr>
        <w:t>zgodne z WZO.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Praca klasowa umożliwia sprawdzenie wiadomości i umiejętności na wszystkich poziomach wymagań edukacyjnych – od koniecznego do wykraczającego.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Zasada przeliczania oceny punktowej na stopień szkolny jest zgodna z WZO.</w:t>
      </w:r>
    </w:p>
    <w:p w:rsidR="00DE5AEF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Zadania z pracy klasowej są przez nauczyciela omawiane i poprawiane po oddaniu prac.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DE5AEF" w:rsidRPr="00A00576" w:rsidRDefault="00DE5AEF" w:rsidP="00DE5A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 w:rsidRPr="00A00576">
        <w:rPr>
          <w:b/>
          <w:bCs/>
          <w:color w:val="000000"/>
          <w:sz w:val="20"/>
          <w:szCs w:val="20"/>
        </w:rPr>
        <w:t xml:space="preserve">Sprawdziany </w:t>
      </w:r>
      <w:r w:rsidRPr="00A00576">
        <w:rPr>
          <w:color w:val="000000"/>
          <w:sz w:val="20"/>
          <w:szCs w:val="20"/>
        </w:rPr>
        <w:t>przeprowadza się w formie pisemnej, a ich celem jest sprawdzenie wiadomości i umiejętności ucznia z zakresu semestru lub całego roku.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Sprawdziany planuje się na zakończenie na zakończenie I i II semestru.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Uczeń jest informowany o planowanych sprawdzianach na początku roku szkolnego</w:t>
      </w:r>
      <w:r>
        <w:rPr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Każdy sprawdzian poprzedza lekcja powtórzeniowa (lub dwie lekcje), podczas której nauczyciel zwraca uwagę uczniów na najważniejsze zagadnienia z danego semestru czy roku.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Zadania ze sprawdzianu są przez nauczyciela omawiane i poprawiane po oddaniu prac.</w:t>
      </w:r>
    </w:p>
    <w:p w:rsidR="00DE5AEF" w:rsidRPr="00A00576" w:rsidRDefault="00DE5AEF" w:rsidP="00DE5AEF">
      <w:pPr>
        <w:autoSpaceDE w:val="0"/>
        <w:autoSpaceDN w:val="0"/>
        <w:adjustRightInd w:val="0"/>
        <w:ind w:left="567" w:hanging="283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Kartkówki </w:t>
      </w:r>
      <w:r w:rsidRPr="00A00576">
        <w:rPr>
          <w:rFonts w:ascii="Times New Roman" w:hAnsi="Times New Roman"/>
          <w:color w:val="000000"/>
          <w:sz w:val="20"/>
          <w:szCs w:val="20"/>
        </w:rPr>
        <w:t>przeprowadza się w formie pisemnej, a ich celem jest sprawdzenie wiadomości i umiejętności ucznia z zakresu programowego 2, 3 ostatnich jednostek lekcyjnych.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 xml:space="preserve">Nauczyciel nie ma obowiązku uprzedzania uczniów o terminie i zakresie programowym </w:t>
      </w:r>
      <w:r>
        <w:rPr>
          <w:color w:val="000000"/>
          <w:sz w:val="20"/>
          <w:szCs w:val="20"/>
        </w:rPr>
        <w:t>kartkówki</w:t>
      </w:r>
      <w:r w:rsidRPr="00A00576">
        <w:rPr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Kartkówka jest tak skonstruowana, by uczeń mógł wykonać wszystkie pole</w:t>
      </w:r>
      <w:r>
        <w:rPr>
          <w:color w:val="000000"/>
          <w:sz w:val="20"/>
          <w:szCs w:val="20"/>
        </w:rPr>
        <w:t>cenia w czasie nie dłuższym niż </w:t>
      </w:r>
      <w:r w:rsidRPr="00A00576">
        <w:rPr>
          <w:color w:val="000000"/>
          <w:sz w:val="20"/>
          <w:szCs w:val="20"/>
        </w:rPr>
        <w:t>15 minut.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Kartkówka jest oceniana w skali punktowej, a liczba punktów jest przeliczana na ocenę zgodnie z zasadami WZO.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Umiejętności i wiadomości objęte kartkówką wchodzą w zakres pr</w:t>
      </w:r>
      <w:r>
        <w:rPr>
          <w:color w:val="000000"/>
          <w:sz w:val="20"/>
          <w:szCs w:val="20"/>
        </w:rPr>
        <w:t>acy klasowej przeprowadzanej po </w:t>
      </w:r>
      <w:r w:rsidRPr="00A00576">
        <w:rPr>
          <w:color w:val="000000"/>
          <w:sz w:val="20"/>
          <w:szCs w:val="20"/>
        </w:rPr>
        <w:t>zakończeniu działu i tym samym zła ocena z kartkówki może zostać poprawiona pracą klasową.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 xml:space="preserve">Zasady przechowywania </w:t>
      </w:r>
      <w:r>
        <w:rPr>
          <w:color w:val="000000"/>
          <w:sz w:val="20"/>
          <w:szCs w:val="20"/>
        </w:rPr>
        <w:t>kartkówek</w:t>
      </w:r>
      <w:r w:rsidRPr="00A00576">
        <w:rPr>
          <w:color w:val="000000"/>
          <w:sz w:val="20"/>
          <w:szCs w:val="20"/>
        </w:rPr>
        <w:t xml:space="preserve"> reguluje WZO.</w:t>
      </w: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Odpowiedź ustna </w:t>
      </w:r>
      <w:r w:rsidRPr="00A00576">
        <w:rPr>
          <w:rFonts w:ascii="Times New Roman" w:hAnsi="Times New Roman"/>
          <w:color w:val="000000"/>
          <w:sz w:val="20"/>
          <w:szCs w:val="20"/>
        </w:rPr>
        <w:t>obejmuje zakres programowy aktualnie realizowanego działu. Oceniając odpowiedź ustną, nauczyciel bierze pod uwagę: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zgodność wypowiedzi z postawionym pytaniem,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prawidłowe posługiwanie się pojęciami,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zawartość merytoryczną wypowiedzi,</w:t>
      </w:r>
    </w:p>
    <w:p w:rsidR="00DE5AEF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>
        <w:rPr>
          <w:color w:val="000000"/>
          <w:sz w:val="20"/>
          <w:szCs w:val="20"/>
        </w:rPr>
        <w:tab/>
      </w:r>
      <w:r w:rsidRPr="00A00576">
        <w:rPr>
          <w:color w:val="000000"/>
          <w:sz w:val="20"/>
          <w:szCs w:val="20"/>
        </w:rPr>
        <w:t>sposób formułowania wypowiedzi.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Praca domowa </w:t>
      </w:r>
      <w:r w:rsidRPr="00A00576">
        <w:rPr>
          <w:rFonts w:ascii="Times New Roman" w:hAnsi="Times New Roman"/>
          <w:color w:val="000000"/>
          <w:sz w:val="20"/>
          <w:szCs w:val="20"/>
        </w:rPr>
        <w:t>jest pisemną lub ustną formą ćwiczenia umiejętności i utrwalania wiadomości zdobytych przez ucznia podczas lekcji.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Pisemną pracę domową uczeń wykonuje w zeszycie, w zeszycie ćwiczeń lub w formie zleconej przez nauczyciela.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 xml:space="preserve">• Brak pracy domowej oceniany jest zgodnie z umową nauczyciela z uczniami, </w:t>
      </w:r>
      <w:r>
        <w:rPr>
          <w:color w:val="000000"/>
          <w:sz w:val="20"/>
          <w:szCs w:val="20"/>
        </w:rPr>
        <w:t>przy uwzględnieniu WZO</w:t>
      </w:r>
      <w:r w:rsidRPr="00A75408">
        <w:rPr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Błędnie wykonana praca domowa jest sygnałem dla nauczyciela, mówiącym o konieczności wprowadzenia dodatkowych ćwiczeń utrwalających umiejętności i nie może być oceniona negatywnie.</w:t>
      </w:r>
    </w:p>
    <w:p w:rsidR="00DE5AEF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Przy wystawianiu oceny za pracę domową nauczyciel bierze pod uwagę samodzielność</w:t>
      </w:r>
      <w:r>
        <w:rPr>
          <w:color w:val="000000"/>
          <w:sz w:val="20"/>
          <w:szCs w:val="20"/>
        </w:rPr>
        <w:t xml:space="preserve"> i </w:t>
      </w:r>
      <w:r w:rsidRPr="00A00576">
        <w:rPr>
          <w:color w:val="000000"/>
          <w:sz w:val="20"/>
          <w:szCs w:val="20"/>
        </w:rPr>
        <w:t>poprawność wykonania</w:t>
      </w:r>
      <w:r>
        <w:rPr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autoSpaceDE w:val="0"/>
        <w:autoSpaceDN w:val="0"/>
        <w:adjustRightInd w:val="0"/>
        <w:ind w:left="426" w:hanging="142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Ćwiczenia praktyczne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zadania praktyczne, które uczeń wykonuje podczas lekcji. Oceniając je, nauczyciel bierze pod uwagę: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dokładność wykonania polecenia,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staranność,</w:t>
      </w:r>
    </w:p>
    <w:p w:rsidR="00DE5AEF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 wypadku pracy w grupie stopień zaangażowania w wykonanie ćwiczenia.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Prace dodatkowe </w:t>
      </w:r>
      <w:r w:rsidRPr="00A00576">
        <w:rPr>
          <w:rFonts w:ascii="Times New Roman" w:hAnsi="Times New Roman"/>
          <w:color w:val="000000"/>
          <w:sz w:val="20"/>
          <w:szCs w:val="20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wartość merytoryczną pracy,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estetykę wykonania,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wkład pracy ucznia,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sposób prezentacji,</w:t>
      </w:r>
    </w:p>
    <w:p w:rsidR="00DE5AEF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oryginalność i pomysłowość pracy.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b/>
          <w:bCs/>
          <w:color w:val="000000"/>
          <w:sz w:val="20"/>
          <w:szCs w:val="20"/>
        </w:rPr>
        <w:t xml:space="preserve">Szczególne osiągnięcia </w:t>
      </w:r>
      <w:r w:rsidRPr="00A00576">
        <w:rPr>
          <w:rFonts w:ascii="Times New Roman" w:hAnsi="Times New Roman"/>
          <w:color w:val="000000"/>
          <w:sz w:val="20"/>
          <w:szCs w:val="20"/>
        </w:rPr>
        <w:t>uczniów, w tym udział w konkursach przedmiotowych, szkolnych i międzyszkolnych, są oceniane zgodnie z zasadami zapisanymi w WZO.</w:t>
      </w:r>
    </w:p>
    <w:p w:rsidR="00DE5AEF" w:rsidRPr="00A00576" w:rsidRDefault="00DE5AEF" w:rsidP="00DE5AEF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DE5AEF" w:rsidRPr="008503CA" w:rsidRDefault="00DE5AEF" w:rsidP="00DE5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Kryteria wystawiania oceny po I semestrze oraz na koniec roku szkolnego</w:t>
      </w:r>
    </w:p>
    <w:p w:rsidR="00DE5AEF" w:rsidRPr="00A00576" w:rsidRDefault="00DE5AEF" w:rsidP="00DE5AEF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DE5AEF" w:rsidRPr="001F08BB" w:rsidRDefault="00DE5AEF" w:rsidP="00DE5A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Klasyfikacja semestralna i roczna polega na podsumowaniu osiągnięć edukacyjnych ucznia oraz ustaleniu oceny klasyfikacyjnej.</w:t>
      </w:r>
    </w:p>
    <w:p w:rsidR="00DE5AEF" w:rsidRPr="00A00576" w:rsidRDefault="00DE5AEF" w:rsidP="00DE5A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Zgodnie z zapisami WZO nauczyciele i wychowawcy na początku każdego roku szkolnego informują uczniów oraz ich rodziców o:</w:t>
      </w:r>
    </w:p>
    <w:p w:rsidR="00DE5AEF" w:rsidRPr="00A00576" w:rsidRDefault="00DE5AEF" w:rsidP="00DE5AEF">
      <w:pPr>
        <w:autoSpaceDE w:val="0"/>
        <w:autoSpaceDN w:val="0"/>
        <w:adjustRightInd w:val="0"/>
        <w:ind w:left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wymaganiach edukacyjnych niezbędnych do uzyskania poszczególnych śródrocznych i rocznych ocen klasyfikacyjnych z matematyki,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sposobach sprawdzania osiągnięć edukacyjnych uczniów,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warunkach i trybie uzyskania wyższej niż przewidywana oceny klasyfikacyjnej,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trybie odwoływania od wystawionej oceny klasyfikacyjnej.</w:t>
      </w:r>
    </w:p>
    <w:p w:rsidR="00DE5AEF" w:rsidRPr="00A00576" w:rsidRDefault="00DE5AEF" w:rsidP="00DE5A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Przy wystawianiu oceny śródrocznej lub rocznej nauczyciel bierze pod uwagę stopień opanowania poszczególnych działów tematycznych, oceniany na podstawie wymienionych w punkcie II różnych form sprawdzania wiadomości i umiejętności. Szczegółowe kryteria wystawienia oceny klasyfikacyjnej określa W</w:t>
      </w:r>
      <w:r>
        <w:rPr>
          <w:rFonts w:ascii="Times New Roman" w:hAnsi="Times New Roman"/>
          <w:color w:val="000000"/>
          <w:sz w:val="20"/>
          <w:szCs w:val="20"/>
        </w:rPr>
        <w:t>Z</w:t>
      </w:r>
      <w:r w:rsidRPr="00A00576">
        <w:rPr>
          <w:rFonts w:ascii="Times New Roman" w:hAnsi="Times New Roman"/>
          <w:color w:val="000000"/>
          <w:sz w:val="20"/>
          <w:szCs w:val="20"/>
        </w:rPr>
        <w:t>O.</w:t>
      </w:r>
    </w:p>
    <w:p w:rsidR="00DE5AEF" w:rsidRPr="008503CA" w:rsidRDefault="00DE5AEF" w:rsidP="00DE5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uzupełniania braków i poprawiania ocen</w:t>
      </w:r>
    </w:p>
    <w:p w:rsidR="00DE5AEF" w:rsidRPr="00A00576" w:rsidRDefault="00DE5AEF" w:rsidP="00DE5AEF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Humanist521PL-Roman" w:hAnsi="Times New Roman"/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Uczeń może poprawić</w:t>
      </w:r>
      <w:r w:rsidRPr="00A00576">
        <w:rPr>
          <w:rFonts w:ascii="Times New Roman" w:hAnsi="Times New Roman"/>
          <w:color w:val="000000"/>
          <w:sz w:val="20"/>
          <w:szCs w:val="20"/>
        </w:rPr>
        <w:t xml:space="preserve"> ocenę</w:t>
      </w:r>
      <w:r>
        <w:rPr>
          <w:rFonts w:ascii="Times New Roman" w:hAnsi="Times New Roman"/>
          <w:color w:val="000000"/>
          <w:sz w:val="20"/>
          <w:szCs w:val="20"/>
        </w:rPr>
        <w:t xml:space="preserve">   według  WZO</w:t>
      </w:r>
      <w:r w:rsidRPr="00A00576">
        <w:rPr>
          <w:rFonts w:ascii="Times New Roman" w:hAnsi="Times New Roman"/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prac klasowych poprawiane są na poprawkowych pracach klasowych lub ustnie w terminie tygodnia po omówieniu pracy klasowej i wystawieniu ocen, o ile zapis WZO nie stanowi inaczej.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Oceny z kartkówek poprawiane są </w:t>
      </w:r>
      <w:r>
        <w:rPr>
          <w:rFonts w:ascii="Times New Roman" w:hAnsi="Times New Roman"/>
          <w:color w:val="000000"/>
          <w:sz w:val="20"/>
          <w:szCs w:val="20"/>
        </w:rPr>
        <w:t>zgodnie z WZO.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Oceny z odpowiedzi ustnych mogą być poprawione</w:t>
      </w:r>
      <w:r>
        <w:rPr>
          <w:rFonts w:ascii="Times New Roman" w:hAnsi="Times New Roman"/>
          <w:color w:val="000000"/>
          <w:sz w:val="20"/>
          <w:szCs w:val="20"/>
        </w:rPr>
        <w:t xml:space="preserve"> za zgodą nauczyciela</w:t>
      </w:r>
      <w:r w:rsidRPr="00A00576">
        <w:rPr>
          <w:rFonts w:ascii="Times New Roman" w:hAnsi="Times New Roman"/>
          <w:color w:val="000000"/>
          <w:sz w:val="20"/>
          <w:szCs w:val="20"/>
        </w:rPr>
        <w:t>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Ocenę z pracy domowej lub ćwiczenia praktycznego uczeń może popr</w:t>
      </w:r>
      <w:r>
        <w:rPr>
          <w:rFonts w:ascii="Times New Roman" w:hAnsi="Times New Roman"/>
          <w:color w:val="000000"/>
          <w:sz w:val="20"/>
          <w:szCs w:val="20"/>
        </w:rPr>
        <w:t>awić po ustaleniu z nauczycielem.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Uczeń może uzupełnić braki w wiedzy i umiejętnościach, biorąc udział w zajęciach wyrównawczych lub drogą indywidualnych konsultacji z nauczycielem.</w:t>
      </w:r>
    </w:p>
    <w:p w:rsidR="00DE5AEF" w:rsidRPr="00A00576" w:rsidRDefault="00DE5AEF" w:rsidP="00DE5A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 xml:space="preserve">Sposób poprawiania klasyfikacyjnej oceny niedostatecznej semestralnej lub </w:t>
      </w:r>
      <w:r>
        <w:rPr>
          <w:rFonts w:ascii="Times New Roman" w:hAnsi="Times New Roman"/>
          <w:color w:val="000000"/>
          <w:sz w:val="20"/>
          <w:szCs w:val="20"/>
        </w:rPr>
        <w:t>rocznej regulują przepisy WZO i </w:t>
      </w:r>
      <w:r w:rsidRPr="00A00576">
        <w:rPr>
          <w:rFonts w:ascii="Times New Roman" w:hAnsi="Times New Roman"/>
          <w:color w:val="000000"/>
          <w:sz w:val="20"/>
          <w:szCs w:val="20"/>
        </w:rPr>
        <w:t>rozporządzenia MEN.</w:t>
      </w:r>
    </w:p>
    <w:p w:rsidR="00DE5AEF" w:rsidRPr="00A00576" w:rsidRDefault="00DE5AEF" w:rsidP="00DE5AE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0"/>
          <w:szCs w:val="20"/>
        </w:rPr>
      </w:pPr>
    </w:p>
    <w:p w:rsidR="00DE5AEF" w:rsidRPr="008503CA" w:rsidRDefault="00DE5AEF" w:rsidP="00DE5A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Humanist521PL-Roman" w:hAnsi="Times New Roman"/>
          <w:b/>
          <w:color w:val="000000"/>
          <w:sz w:val="24"/>
          <w:szCs w:val="24"/>
        </w:rPr>
      </w:pPr>
      <w:r w:rsidRPr="008503CA">
        <w:rPr>
          <w:rFonts w:ascii="Times New Roman" w:eastAsia="Humanist521PL-Roman" w:hAnsi="Times New Roman"/>
          <w:b/>
          <w:color w:val="000000"/>
          <w:sz w:val="24"/>
          <w:szCs w:val="24"/>
        </w:rPr>
        <w:t>Zasady badania wyników nauczania</w:t>
      </w:r>
    </w:p>
    <w:p w:rsidR="00DE5AEF" w:rsidRPr="00A00576" w:rsidRDefault="00DE5AEF" w:rsidP="00DE5AEF">
      <w:pPr>
        <w:autoSpaceDE w:val="0"/>
        <w:autoSpaceDN w:val="0"/>
        <w:adjustRightInd w:val="0"/>
        <w:rPr>
          <w:rFonts w:eastAsia="Humanist521PL-Roman"/>
          <w:color w:val="000000"/>
          <w:sz w:val="20"/>
          <w:szCs w:val="20"/>
        </w:rPr>
      </w:pPr>
    </w:p>
    <w:p w:rsidR="00DE5AEF" w:rsidRPr="00A00576" w:rsidRDefault="00DE5AEF" w:rsidP="00DE5A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wyników nauczania ma na celu diagnozowanie efektów kształcenia.</w:t>
      </w:r>
    </w:p>
    <w:p w:rsidR="00DE5AEF" w:rsidRPr="00A00576" w:rsidRDefault="00DE5AEF" w:rsidP="00DE5A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t>Badanie to odbywa się w trzech etapach: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diagnozy wstępnej,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B05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</w:t>
      </w:r>
      <w:r>
        <w:rPr>
          <w:color w:val="000000"/>
          <w:sz w:val="20"/>
          <w:szCs w:val="20"/>
        </w:rPr>
        <w:t>a zakończenie I semestru nauki,</w:t>
      </w:r>
    </w:p>
    <w:p w:rsidR="00DE5AEF" w:rsidRPr="00A00576" w:rsidRDefault="00DE5AEF" w:rsidP="00DE5AEF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  <w:r w:rsidRPr="00A00576">
        <w:rPr>
          <w:color w:val="000000"/>
          <w:sz w:val="20"/>
          <w:szCs w:val="20"/>
        </w:rPr>
        <w:t>• diagnozy na koniec roku szkolne</w:t>
      </w:r>
      <w:r>
        <w:rPr>
          <w:color w:val="000000"/>
          <w:sz w:val="20"/>
          <w:szCs w:val="20"/>
        </w:rPr>
        <w:t>go.</w:t>
      </w:r>
    </w:p>
    <w:p w:rsidR="00DE5AEF" w:rsidRPr="00A00576" w:rsidRDefault="00DE5AEF" w:rsidP="00DE5AE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0576">
        <w:rPr>
          <w:rFonts w:ascii="Times New Roman" w:hAnsi="Times New Roman"/>
          <w:color w:val="000000"/>
          <w:sz w:val="20"/>
          <w:szCs w:val="20"/>
        </w:rPr>
        <w:lastRenderedPageBreak/>
        <w:t>Oceny uzyskane przez uczniów podczas tych diagnoz nie mają wpływu na ocenę semestralną i roczną.</w:t>
      </w:r>
    </w:p>
    <w:p w:rsidR="00DE5AEF" w:rsidRPr="00A00576" w:rsidRDefault="00DE5AEF" w:rsidP="00DE5AEF">
      <w:pPr>
        <w:rPr>
          <w:color w:val="002060"/>
          <w:sz w:val="20"/>
          <w:szCs w:val="20"/>
        </w:rPr>
      </w:pPr>
    </w:p>
    <w:p w:rsidR="00DE5AEF" w:rsidRPr="008503CA" w:rsidRDefault="00DE5AEF" w:rsidP="00DE5AEF">
      <w:pPr>
        <w:numPr>
          <w:ilvl w:val="0"/>
          <w:numId w:val="2"/>
        </w:numPr>
        <w:spacing w:after="0"/>
        <w:ind w:left="426" w:hanging="426"/>
        <w:jc w:val="both"/>
        <w:rPr>
          <w:b/>
        </w:rPr>
      </w:pPr>
      <w:r w:rsidRPr="008503CA">
        <w:rPr>
          <w:b/>
        </w:rPr>
        <w:t xml:space="preserve">Poziomy </w:t>
      </w:r>
      <w:r>
        <w:rPr>
          <w:b/>
        </w:rPr>
        <w:t>wymagań</w:t>
      </w:r>
      <w:r w:rsidRPr="008503CA">
        <w:rPr>
          <w:b/>
        </w:rPr>
        <w:t xml:space="preserve"> a ocena szkolna</w:t>
      </w:r>
    </w:p>
    <w:p w:rsidR="00DE5AEF" w:rsidRPr="008503CA" w:rsidRDefault="00DE5AEF" w:rsidP="00DE5AEF">
      <w:pPr>
        <w:pStyle w:val="Tekstpodstawowywcity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:rsidR="00DE5AEF" w:rsidRPr="008503CA" w:rsidRDefault="00DE5AEF" w:rsidP="00DE5AEF">
      <w:pPr>
        <w:pStyle w:val="Tekstpodstawowywcity"/>
        <w:ind w:firstLine="357"/>
      </w:pPr>
      <w:r w:rsidRPr="008503CA">
        <w:t>Wymienione poziomy wymagań odpowiadają w przybliżeniu ocenom szkolnym. Naucz</w:t>
      </w:r>
      <w:r>
        <w:t>yciel, określając te </w:t>
      </w:r>
      <w:r w:rsidRPr="008503CA">
        <w:t>poziomy, powinien sprecyzować, czy opanowania konkretnych umiejętności l</w:t>
      </w:r>
      <w:r>
        <w:t>ub wiadomości będzie wymagał na </w:t>
      </w:r>
      <w:r w:rsidRPr="008503CA">
        <w:t>ocenę dopuszczającą (2), dostateczną (3), dobrą (4), bardzo dobrą (5) czy celującą (6).</w:t>
      </w:r>
    </w:p>
    <w:p w:rsidR="00DE5AEF" w:rsidRPr="008503CA" w:rsidRDefault="00DE5AEF" w:rsidP="00DE5AEF">
      <w:pPr>
        <w:rPr>
          <w:sz w:val="20"/>
          <w:szCs w:val="20"/>
        </w:rPr>
      </w:pPr>
    </w:p>
    <w:p w:rsidR="00DE5AEF" w:rsidRPr="008503CA" w:rsidRDefault="00DE5AEF" w:rsidP="00DE5AEF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:rsidR="00DE5AEF" w:rsidRDefault="00DE5AEF" w:rsidP="00DE5AEF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:rsidR="00DE5AEF" w:rsidRPr="005F717D" w:rsidRDefault="00DE5AEF" w:rsidP="00DE5AEF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>wymagania z poziomów K i P oraz 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:rsidR="00DE5AEF" w:rsidRDefault="00DE5AEF" w:rsidP="00DE5AEF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 dotyczące zadań problemowych, o wyższym stopniu trudności.</w:t>
      </w:r>
    </w:p>
    <w:p w:rsidR="00DE5AEF" w:rsidRPr="00D048F1" w:rsidRDefault="00DE5AEF" w:rsidP="00DE5AEF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(W)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Pr="00D048F1">
        <w:rPr>
          <w:sz w:val="20"/>
          <w:szCs w:val="20"/>
        </w:rPr>
        <w:t>stosowanie znanych wiadomości i umiejętności w sytuacjach trudnych, nietypowych, złożonych</w:t>
      </w:r>
      <w:r>
        <w:rPr>
          <w:sz w:val="20"/>
          <w:szCs w:val="20"/>
        </w:rPr>
        <w:t>.</w:t>
      </w:r>
    </w:p>
    <w:p w:rsidR="00DE5AEF" w:rsidRDefault="00DE5AEF" w:rsidP="00DE5AEF">
      <w:pPr>
        <w:spacing w:after="120"/>
        <w:jc w:val="both"/>
        <w:rPr>
          <w:sz w:val="20"/>
          <w:szCs w:val="20"/>
        </w:rPr>
      </w:pPr>
    </w:p>
    <w:p w:rsidR="00DE5AEF" w:rsidRPr="008503CA" w:rsidRDefault="00DE5AEF" w:rsidP="00DE5AE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Wymagania</w:t>
      </w:r>
      <w:r w:rsidRPr="008503CA">
        <w:rPr>
          <w:sz w:val="20"/>
          <w:szCs w:val="20"/>
        </w:rPr>
        <w:t xml:space="preserve"> na poszczególne oceny szkolne:</w:t>
      </w:r>
    </w:p>
    <w:p w:rsidR="00DE5AEF" w:rsidRPr="008503CA" w:rsidRDefault="00DE5AEF" w:rsidP="00DE5AEF">
      <w:pPr>
        <w:tabs>
          <w:tab w:val="left" w:pos="1843"/>
          <w:tab w:val="left" w:pos="2127"/>
        </w:tabs>
        <w:rPr>
          <w:sz w:val="20"/>
          <w:szCs w:val="20"/>
        </w:rPr>
      </w:pPr>
      <w:r w:rsidRPr="008503CA">
        <w:rPr>
          <w:sz w:val="20"/>
          <w:szCs w:val="20"/>
        </w:rPr>
        <w:t>ocena dopuszczająca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:rsidR="00DE5AEF" w:rsidRPr="008503CA" w:rsidRDefault="00DE5AEF" w:rsidP="00DE5AEF">
      <w:pPr>
        <w:tabs>
          <w:tab w:val="left" w:pos="1843"/>
          <w:tab w:val="left" w:pos="2127"/>
        </w:tabs>
        <w:rPr>
          <w:sz w:val="20"/>
          <w:szCs w:val="20"/>
        </w:rPr>
      </w:pPr>
      <w:r w:rsidRPr="008503CA">
        <w:rPr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:rsidR="00DE5AEF" w:rsidRPr="008503CA" w:rsidRDefault="00DE5AEF" w:rsidP="00DE5AEF">
      <w:pPr>
        <w:tabs>
          <w:tab w:val="left" w:pos="1843"/>
          <w:tab w:val="left" w:pos="2127"/>
        </w:tabs>
        <w:rPr>
          <w:sz w:val="20"/>
          <w:szCs w:val="20"/>
        </w:rPr>
      </w:pPr>
      <w:r w:rsidRPr="008503CA">
        <w:rPr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:rsidR="00DE5AEF" w:rsidRPr="008503CA" w:rsidRDefault="00DE5AEF" w:rsidP="00DE5AEF">
      <w:pPr>
        <w:tabs>
          <w:tab w:val="left" w:pos="1843"/>
          <w:tab w:val="left" w:pos="2127"/>
        </w:tabs>
        <w:rPr>
          <w:sz w:val="20"/>
          <w:szCs w:val="20"/>
        </w:rPr>
      </w:pPr>
      <w:r w:rsidRPr="008503CA">
        <w:rPr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:rsidR="00DE5AEF" w:rsidRPr="007039C6" w:rsidRDefault="00DE5AEF" w:rsidP="007039C6">
      <w:pPr>
        <w:tabs>
          <w:tab w:val="left" w:pos="1843"/>
          <w:tab w:val="left" w:pos="2127"/>
        </w:tabs>
        <w:rPr>
          <w:sz w:val="20"/>
          <w:szCs w:val="20"/>
        </w:rPr>
      </w:pPr>
      <w:r w:rsidRPr="008503CA">
        <w:rPr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:rsidR="00DE5AEF" w:rsidRDefault="00DE5AEF" w:rsidP="007039C6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11578" w:rsidRDefault="007B0F16" w:rsidP="0049097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Wymagania na poszczególne oceny </w:t>
      </w:r>
    </w:p>
    <w:p w:rsidR="00AD383F" w:rsidRPr="00AD383F" w:rsidRDefault="00AD383F" w:rsidP="00490977">
      <w:pPr>
        <w:spacing w:after="120"/>
        <w:jc w:val="center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 xml:space="preserve">„Tajemnice przyrody” </w:t>
      </w:r>
      <w:r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56"/>
        <w:gridCol w:w="1901"/>
        <w:gridCol w:w="2405"/>
        <w:gridCol w:w="2457"/>
        <w:gridCol w:w="2211"/>
        <w:gridCol w:w="2329"/>
        <w:gridCol w:w="2556"/>
      </w:tblGrid>
      <w:tr w:rsidR="0000320E" w:rsidRPr="001415F4" w:rsidTr="00377ACA">
        <w:trPr>
          <w:cantSplit/>
          <w:tblHeader/>
        </w:trPr>
        <w:tc>
          <w:tcPr>
            <w:tcW w:w="529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dobra).Uczeń:</w:t>
            </w:r>
          </w:p>
        </w:tc>
        <w:tc>
          <w:tcPr>
            <w:tcW w:w="811" w:type="pct"/>
            <w:vAlign w:val="center"/>
          </w:tcPr>
          <w:p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celująca).Uczeń:</w:t>
            </w:r>
          </w:p>
        </w:tc>
      </w:tr>
      <w:tr w:rsidR="00E80355" w:rsidRPr="001415F4" w:rsidTr="00670444">
        <w:trPr>
          <w:cantSplit/>
        </w:trPr>
        <w:tc>
          <w:tcPr>
            <w:tcW w:w="5000" w:type="pct"/>
            <w:gridSpan w:val="7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6" w:type="pct"/>
          </w:tcPr>
          <w:p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 wykorzystaniem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</w:p>
        </w:tc>
        <w:tc>
          <w:tcPr>
            <w:tcW w:w="718" w:type="pct"/>
          </w:tcPr>
          <w:p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377ACA">
        <w:trPr>
          <w:cantSplit/>
          <w:trHeight w:val="1645"/>
        </w:trPr>
        <w:tc>
          <w:tcPr>
            <w:tcW w:w="529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8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historyczne i współczesne przykłady praktycznego wykorzystania umiejętności wyznaczania kierunków geograficznych (A);omawia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="00292F6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zjawiska przyrodnicze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składniki pogody (A);rozpoznaje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4" w:type="pct"/>
          </w:tcPr>
          <w:p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377ACA">
        <w:trPr>
          <w:cantSplit/>
          <w:trHeight w:val="1854"/>
        </w:trPr>
        <w:tc>
          <w:tcPr>
            <w:tcW w:w="529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1807"/>
        </w:trPr>
        <w:tc>
          <w:tcPr>
            <w:tcW w:w="529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377ACA">
        <w:trPr>
          <w:cantSplit/>
        </w:trPr>
        <w:tc>
          <w:tcPr>
            <w:tcW w:w="529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670444">
        <w:trPr>
          <w:cantSplit/>
        </w:trPr>
        <w:tc>
          <w:tcPr>
            <w:tcW w:w="5000" w:type="pct"/>
            <w:gridSpan w:val="7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377ACA">
        <w:trPr>
          <w:cantSplit/>
          <w:trHeight w:val="1454"/>
        </w:trPr>
        <w:tc>
          <w:tcPr>
            <w:tcW w:w="529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  <w:trHeight w:val="3933"/>
        </w:trPr>
        <w:tc>
          <w:tcPr>
            <w:tcW w:w="529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377ACA">
        <w:trPr>
          <w:cantSplit/>
        </w:trPr>
        <w:tc>
          <w:tcPr>
            <w:tcW w:w="529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71" w:type="pct"/>
            <w:gridSpan w:val="6"/>
          </w:tcPr>
          <w:p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:rsidTr="00670444">
        <w:trPr>
          <w:cantSplit/>
        </w:trPr>
        <w:tc>
          <w:tcPr>
            <w:tcW w:w="5000" w:type="pct"/>
            <w:gridSpan w:val="7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8" w:type="pct"/>
          </w:tcPr>
          <w:p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4" w:type="pct"/>
          </w:tcPr>
          <w:p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8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funkcje układukrwionośnego (B); wyjaśnia,czym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omawiarolę układu krwionośnegow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dbaćo układ krwionośny (B);podaje przykłady produktów żywnościowych korzystniewpływających na pracę układu krwionośnego (C)</w:t>
            </w:r>
          </w:p>
        </w:tc>
        <w:tc>
          <w:tcPr>
            <w:tcW w:w="856" w:type="pct"/>
          </w:tcPr>
          <w:p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kolanowego(D);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  <w:trHeight w:val="1996"/>
        </w:trPr>
        <w:tc>
          <w:tcPr>
            <w:tcW w:w="529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670444">
        <w:trPr>
          <w:cantSplit/>
        </w:trPr>
        <w:tc>
          <w:tcPr>
            <w:tcW w:w="5000" w:type="pct"/>
            <w:gridSpan w:val="7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14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(A);omawia objawy zatruć (B)</w:t>
            </w:r>
          </w:p>
        </w:tc>
        <w:tc>
          <w:tcPr>
            <w:tcW w:w="811" w:type="pct"/>
          </w:tcPr>
          <w:p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377ACA">
        <w:tc>
          <w:tcPr>
            <w:tcW w:w="529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wymieniaskutki przyjmowania narkotyków (B); wyjaśnia, czym jest asertywność (B)</w:t>
            </w:r>
          </w:p>
        </w:tc>
        <w:tc>
          <w:tcPr>
            <w:tcW w:w="811" w:type="pct"/>
          </w:tcPr>
          <w:p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(C);uzasadnia koniecznośćzachowań 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profilaktykichorób nowotworowych (D)</w:t>
            </w:r>
          </w:p>
        </w:tc>
      </w:tr>
      <w:tr w:rsidR="009F74B7" w:rsidRPr="001415F4" w:rsidTr="00377ACA">
        <w:trPr>
          <w:cantSplit/>
        </w:trPr>
        <w:tc>
          <w:tcPr>
            <w:tcW w:w="529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1:10 (C); rysuje plan biurka w skali 1:10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1:5, 1:20, 1:50; wykonuje szkic terenu szkoły (D)</w:t>
            </w:r>
          </w:p>
        </w:tc>
        <w:tc>
          <w:tcPr>
            <w:tcW w:w="811" w:type="pct"/>
          </w:tcPr>
          <w:p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1:50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kierunki geograficzne na mapie (C); odszukuje na planie okolicy wskazany obiekt, np. kościół,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szkołę (C)</w:t>
            </w:r>
          </w:p>
        </w:tc>
        <w:tc>
          <w:tcPr>
            <w:tcW w:w="764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określa położenie innych obiektów na mapie w stosunku do podanego obiektu (C); opowiada, jak zorientować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plan lub mapę za pomocą kompasu (B) </w:t>
            </w:r>
          </w:p>
        </w:tc>
        <w:tc>
          <w:tcPr>
            <w:tcW w:w="718" w:type="pct"/>
            <w:vMerge w:val="restart"/>
          </w:tcPr>
          <w:p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mapę za pomocą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kompasu (C)</w:t>
            </w:r>
          </w:p>
        </w:tc>
        <w:tc>
          <w:tcPr>
            <w:tcW w:w="811" w:type="pct"/>
            <w:vMerge w:val="restart"/>
          </w:tcPr>
          <w:p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377ACA">
        <w:trPr>
          <w:cantSplit/>
          <w:trHeight w:val="608"/>
        </w:trPr>
        <w:tc>
          <w:tcPr>
            <w:tcW w:w="529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00320E">
        <w:trPr>
          <w:cantSplit/>
          <w:trHeight w:val="607"/>
        </w:trPr>
        <w:tc>
          <w:tcPr>
            <w:tcW w:w="529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6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00320E">
        <w:trPr>
          <w:cantSplit/>
        </w:trPr>
        <w:tc>
          <w:tcPr>
            <w:tcW w:w="5000" w:type="pct"/>
            <w:gridSpan w:val="7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</w:p>
        </w:tc>
        <w:tc>
          <w:tcPr>
            <w:tcW w:w="718" w:type="pct"/>
          </w:tcPr>
          <w:p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 podziału wódpowierzchniowych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obszarachchronionych (B)</w:t>
            </w:r>
          </w:p>
        </w:tc>
        <w:tc>
          <w:tcPr>
            <w:tcW w:w="718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70444">
        <w:trPr>
          <w:cantSplit/>
        </w:trPr>
        <w:tc>
          <w:tcPr>
            <w:tcW w:w="5000" w:type="pct"/>
            <w:gridSpan w:val="7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:rsidTr="00377ACA">
        <w:trPr>
          <w:cantSplit/>
          <w:trHeight w:val="2059"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8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:rsidTr="00377ACA">
        <w:trPr>
          <w:cantSplit/>
          <w:trHeight w:val="1131"/>
        </w:trPr>
        <w:tc>
          <w:tcPr>
            <w:tcW w:w="529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warstw lasu(A);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377ACA">
        <w:trPr>
          <w:cantSplit/>
          <w:trHeight w:val="2832"/>
        </w:trPr>
        <w:tc>
          <w:tcPr>
            <w:tcW w:w="529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7. Na łące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14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:rsidTr="00377ACA">
        <w:trPr>
          <w:cantSplit/>
        </w:trPr>
        <w:tc>
          <w:tcPr>
            <w:tcW w:w="529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default" r:id="rId9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7F" w:rsidRDefault="000D467F" w:rsidP="00B35908">
      <w:pPr>
        <w:spacing w:after="0" w:line="240" w:lineRule="auto"/>
      </w:pPr>
      <w:r>
        <w:separator/>
      </w:r>
    </w:p>
  </w:endnote>
  <w:endnote w:type="continuationSeparator" w:id="0">
    <w:p w:rsidR="000D467F" w:rsidRDefault="000D467F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7F" w:rsidRDefault="000D467F" w:rsidP="00B35908">
      <w:pPr>
        <w:spacing w:after="0" w:line="240" w:lineRule="auto"/>
      </w:pPr>
      <w:r>
        <w:separator/>
      </w:r>
    </w:p>
  </w:footnote>
  <w:footnote w:type="continuationSeparator" w:id="0">
    <w:p w:rsidR="000D467F" w:rsidRDefault="000D467F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:rsidR="00E37196" w:rsidRDefault="00A40D01">
        <w:pPr>
          <w:pStyle w:val="Nagwek"/>
          <w:jc w:val="right"/>
        </w:pPr>
        <w:r>
          <w:fldChar w:fldCharType="begin"/>
        </w:r>
        <w:r w:rsidR="00E37196">
          <w:instrText>PAGE   \* MERGEFORMAT</w:instrText>
        </w:r>
        <w:r>
          <w:fldChar w:fldCharType="separate"/>
        </w:r>
        <w:r w:rsidR="00EB6B9C">
          <w:rPr>
            <w:noProof/>
          </w:rPr>
          <w:t>3</w:t>
        </w:r>
        <w:r>
          <w:fldChar w:fldCharType="end"/>
        </w:r>
      </w:p>
    </w:sdtContent>
  </w:sdt>
  <w:p w:rsidR="005F1C35" w:rsidRDefault="005F1C3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A225F"/>
    <w:rsid w:val="000B1776"/>
    <w:rsid w:val="000C7E8C"/>
    <w:rsid w:val="000D3202"/>
    <w:rsid w:val="000D467F"/>
    <w:rsid w:val="000E38A1"/>
    <w:rsid w:val="000E785F"/>
    <w:rsid w:val="000F67BB"/>
    <w:rsid w:val="000F7589"/>
    <w:rsid w:val="00102502"/>
    <w:rsid w:val="0010585B"/>
    <w:rsid w:val="00111578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2F62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90977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6F6F7A"/>
    <w:rsid w:val="00701FF5"/>
    <w:rsid w:val="007039C6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5B9B"/>
    <w:rsid w:val="007A7C94"/>
    <w:rsid w:val="007B001E"/>
    <w:rsid w:val="007B0F16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3503"/>
    <w:rsid w:val="0082478C"/>
    <w:rsid w:val="00826CB9"/>
    <w:rsid w:val="00836F34"/>
    <w:rsid w:val="00852BB2"/>
    <w:rsid w:val="00872C67"/>
    <w:rsid w:val="00873E4F"/>
    <w:rsid w:val="008802C9"/>
    <w:rsid w:val="00885C22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0D01"/>
    <w:rsid w:val="00A41888"/>
    <w:rsid w:val="00A45B84"/>
    <w:rsid w:val="00A462AA"/>
    <w:rsid w:val="00A61E67"/>
    <w:rsid w:val="00A62F0E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B7777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96AA4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371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E5AEF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6B9C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35A6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69E93"/>
  <w15:docId w15:val="{D87BEBA8-5FBE-4E33-8545-82277D24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5A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2-08-2017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3979-D954-40C1-A043-A53E886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7268</Words>
  <Characters>43608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50775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Uczeń</cp:lastModifiedBy>
  <cp:revision>20</cp:revision>
  <cp:lastPrinted>2017-06-28T07:12:00Z</cp:lastPrinted>
  <dcterms:created xsi:type="dcterms:W3CDTF">2020-06-29T12:03:00Z</dcterms:created>
  <dcterms:modified xsi:type="dcterms:W3CDTF">2023-12-04T14:38:00Z</dcterms:modified>
</cp:coreProperties>
</file>